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72F1EF" w14:textId="77777777" w:rsidR="007542FC" w:rsidRPr="00062B35" w:rsidRDefault="007542FC" w:rsidP="008D0A9A">
      <w:pPr>
        <w:spacing w:after="0" w:line="360" w:lineRule="auto"/>
        <w:rPr>
          <w:rFonts w:ascii="GHEA Grapalat" w:hAnsi="GHEA Grapalat"/>
          <w:b/>
          <w:bCs/>
          <w:sz w:val="24"/>
          <w:szCs w:val="24"/>
        </w:rPr>
      </w:pPr>
    </w:p>
    <w:p w14:paraId="23934B1C" w14:textId="190A4EA9" w:rsidR="001F40D6" w:rsidRDefault="001F40D6" w:rsidP="001F40D6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062B35">
        <w:rPr>
          <w:rFonts w:ascii="GHEA Grapalat" w:hAnsi="GHEA Grapalat"/>
          <w:b/>
          <w:bCs/>
          <w:sz w:val="24"/>
          <w:szCs w:val="24"/>
        </w:rPr>
        <w:t>ՀԻՄՆԱՎՈՐՈՒՄ</w:t>
      </w:r>
    </w:p>
    <w:p w14:paraId="3B786ABC" w14:textId="3C23CB01" w:rsidR="00535F57" w:rsidRDefault="00075890" w:rsidP="001F40D6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075890">
        <w:rPr>
          <w:rFonts w:ascii="GHEA Grapalat" w:hAnsi="GHEA Grapalat"/>
          <w:b/>
          <w:bCs/>
          <w:sz w:val="24"/>
          <w:szCs w:val="24"/>
          <w:lang w:val="af-ZA"/>
        </w:rPr>
        <w:t>Պետական աջակցություն ՏՏ ոլորտում գործունեություն իրականացնող առևտրային կազմակերպություններին և անհատ ձեռնարկատերերին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միջոցառման </w:t>
      </w:r>
    </w:p>
    <w:p w14:paraId="442FCA24" w14:textId="77777777" w:rsidR="00075890" w:rsidRPr="00075890" w:rsidRDefault="00075890" w:rsidP="001F40D6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0B28C38C" w14:textId="33F7F7EA" w:rsidR="00C14E56" w:rsidRPr="00C14E56" w:rsidRDefault="00C14E56" w:rsidP="00C14E56">
      <w:pPr>
        <w:pStyle w:val="mechtex"/>
        <w:spacing w:line="360" w:lineRule="auto"/>
        <w:ind w:right="-180"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C14E56">
        <w:rPr>
          <w:rFonts w:ascii="GHEA Grapalat" w:hAnsi="GHEA Grapalat"/>
          <w:bCs/>
          <w:sz w:val="24"/>
          <w:szCs w:val="24"/>
          <w:lang w:val="hy-AM"/>
        </w:rPr>
        <w:t>Հաշվի առնելով ՀՀ կառավարության 2022 թվականի մարտի 24-ի «Տեղեկատվական տեխնոլոգիաների ոլորտի առևտրային կազմակերպություններին և անհատ ձեռնարկատերերին պետական աջակցության տրամադրման կարգը հաստատելու մասին» թիվ 399-Լ որոշման դրական ազդեցությունը տեղեկատվական տեխնոլոգիաների ոլորտում գործությություն իրականացնող առևտրային կազմակերպությունների վրա, ուստի անհրաժեշտություն է առաջացել ընդունել ՀՀ կառավարության 202</w:t>
      </w:r>
      <w:r>
        <w:rPr>
          <w:rFonts w:ascii="GHEA Grapalat" w:hAnsi="GHEA Grapalat"/>
          <w:bCs/>
          <w:sz w:val="24"/>
          <w:szCs w:val="24"/>
          <w:lang w:val="hy-AM"/>
        </w:rPr>
        <w:t>3</w:t>
      </w:r>
      <w:r w:rsidRPr="00C14E56">
        <w:rPr>
          <w:rFonts w:ascii="GHEA Grapalat" w:hAnsi="GHEA Grapalat"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Cs/>
          <w:sz w:val="24"/>
          <w:szCs w:val="24"/>
          <w:lang w:val="hy-AM"/>
        </w:rPr>
        <w:t>դեկտեմբերի</w:t>
      </w:r>
      <w:r w:rsidRPr="00C14E56">
        <w:rPr>
          <w:rFonts w:ascii="GHEA Grapalat" w:hAnsi="GHEA Grapalat"/>
          <w:bCs/>
          <w:sz w:val="24"/>
          <w:szCs w:val="24"/>
          <w:lang w:val="hy-AM"/>
        </w:rPr>
        <w:t xml:space="preserve"> 2</w:t>
      </w:r>
      <w:r>
        <w:rPr>
          <w:rFonts w:ascii="GHEA Grapalat" w:hAnsi="GHEA Grapalat"/>
          <w:bCs/>
          <w:sz w:val="24"/>
          <w:szCs w:val="24"/>
          <w:lang w:val="hy-AM"/>
        </w:rPr>
        <w:t>8</w:t>
      </w:r>
      <w:r w:rsidRPr="00C14E56">
        <w:rPr>
          <w:rFonts w:ascii="GHEA Grapalat" w:hAnsi="GHEA Grapalat"/>
          <w:bCs/>
          <w:sz w:val="24"/>
          <w:szCs w:val="24"/>
          <w:lang w:val="hy-AM"/>
        </w:rPr>
        <w:t xml:space="preserve">-ի «Տեղեկատվական տեխնոլոգիաների ոլորտի առևտրային կազմակերպություններին և անհատ ձեռնարկատերերին պետական աջակցության տրամադրման կարգը հաստատելու մասին» թիվ </w:t>
      </w:r>
      <w:r>
        <w:rPr>
          <w:rFonts w:ascii="GHEA Grapalat" w:hAnsi="GHEA Grapalat"/>
          <w:bCs/>
          <w:sz w:val="24"/>
          <w:szCs w:val="24"/>
          <w:lang w:val="hy-AM"/>
        </w:rPr>
        <w:t>2328</w:t>
      </w:r>
      <w:r w:rsidRPr="00C14E56">
        <w:rPr>
          <w:rFonts w:ascii="GHEA Grapalat" w:hAnsi="GHEA Grapalat"/>
          <w:bCs/>
          <w:sz w:val="24"/>
          <w:szCs w:val="24"/>
          <w:lang w:val="hy-AM"/>
        </w:rPr>
        <w:t>-Լ որոշ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ումը </w:t>
      </w:r>
      <w:r w:rsidRPr="00C14E56">
        <w:rPr>
          <w:rFonts w:ascii="GHEA Grapalat" w:hAnsi="GHEA Grapalat"/>
          <w:bCs/>
          <w:sz w:val="24"/>
          <w:szCs w:val="24"/>
          <w:lang w:val="hy-AM"/>
        </w:rPr>
        <w:t>(այսուհետ՝ Որոշում):</w:t>
      </w:r>
    </w:p>
    <w:p w14:paraId="35E27FA4" w14:textId="297B07E6" w:rsidR="00C14E56" w:rsidRPr="00C14E56" w:rsidRDefault="00C14E56" w:rsidP="00C14E56">
      <w:pPr>
        <w:pStyle w:val="mechtex"/>
        <w:spacing w:line="360" w:lineRule="auto"/>
        <w:ind w:right="-180"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>
        <w:rPr>
          <w:rFonts w:ascii="GHEA Grapalat" w:hAnsi="GHEA Grapalat"/>
          <w:bCs/>
          <w:sz w:val="24"/>
          <w:szCs w:val="24"/>
          <w:lang w:val="hy-AM"/>
        </w:rPr>
        <w:t>Որոշման</w:t>
      </w:r>
      <w:r w:rsidRPr="00C14E56">
        <w:rPr>
          <w:rFonts w:ascii="GHEA Grapalat" w:hAnsi="GHEA Grapalat"/>
          <w:bCs/>
          <w:sz w:val="24"/>
          <w:szCs w:val="24"/>
          <w:lang w:val="hy-AM"/>
        </w:rPr>
        <w:t xml:space="preserve"> ընդունումը պայմանավորված է Հայաստանի Հանրապետությունում տեղեկատվական տեխնոլոգիաների ոլորտի զարգացմանը օժանդակելու, ինչպես նաև տարածաշրջանի երկրների համեմատ նշյալ ոլորտում գործունեության խթանների առումով տնտեսավարող սուբյեկտների գործունեության իրականացման համար համապատասխան մրցունակ միջավայր ստեղծելու անհրաժ</w:t>
      </w:r>
      <w:r w:rsidR="00075890">
        <w:rPr>
          <w:rFonts w:ascii="GHEA Grapalat" w:hAnsi="GHEA Grapalat"/>
          <w:bCs/>
          <w:sz w:val="24"/>
          <w:szCs w:val="24"/>
          <w:lang w:val="hy-AM"/>
        </w:rPr>
        <w:t>եշտությամբ։ Միաժամանակ, Որոշում</w:t>
      </w:r>
      <w:r w:rsidRPr="00C14E56">
        <w:rPr>
          <w:rFonts w:ascii="GHEA Grapalat" w:hAnsi="GHEA Grapalat"/>
          <w:bCs/>
          <w:sz w:val="24"/>
          <w:szCs w:val="24"/>
          <w:lang w:val="hy-AM"/>
        </w:rPr>
        <w:t>ը նպատակ ունի նպաստել բարձր մասնագիտական որակավորում ունեցող աշխատուժի ներգրավմանը։</w:t>
      </w:r>
    </w:p>
    <w:p w14:paraId="4D478FBE" w14:textId="4A8921D3" w:rsidR="00C14E56" w:rsidRPr="00C14E56" w:rsidRDefault="00C14E56" w:rsidP="00C14E56">
      <w:pPr>
        <w:pStyle w:val="mechtex"/>
        <w:spacing w:line="360" w:lineRule="auto"/>
        <w:ind w:right="-180"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C14E56">
        <w:rPr>
          <w:rFonts w:ascii="GHEA Grapalat" w:hAnsi="GHEA Grapalat"/>
          <w:bCs/>
          <w:sz w:val="24"/>
          <w:szCs w:val="24"/>
          <w:lang w:val="hy-AM"/>
        </w:rPr>
        <w:t xml:space="preserve">Որոշմամբ սահմանված կարգով </w:t>
      </w:r>
      <w:r w:rsidR="00075890">
        <w:rPr>
          <w:rFonts w:ascii="GHEA Grapalat" w:hAnsi="GHEA Grapalat"/>
          <w:bCs/>
          <w:sz w:val="24"/>
          <w:szCs w:val="24"/>
          <w:lang w:val="hy-AM"/>
        </w:rPr>
        <w:t xml:space="preserve"> 2023թ. </w:t>
      </w:r>
      <w:bookmarkStart w:id="0" w:name="_GoBack"/>
      <w:bookmarkEnd w:id="0"/>
      <w:r w:rsidRPr="00C14E56">
        <w:rPr>
          <w:rFonts w:ascii="GHEA Grapalat" w:hAnsi="GHEA Grapalat"/>
          <w:bCs/>
          <w:sz w:val="24"/>
          <w:szCs w:val="24"/>
          <w:lang w:val="hy-AM"/>
        </w:rPr>
        <w:t xml:space="preserve">պետական աջակցություն է տրամադրվել թվով 47 կազմակերպության, ընդհանուր վճարվել է 7,857,245,293 ՀՀ դրամ: 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2023 թվականին թվով 46 կազմակերպության վճարվել է 5,283,234,974 </w:t>
      </w:r>
      <w:r w:rsidRPr="00C14E56">
        <w:rPr>
          <w:rFonts w:ascii="GHEA Grapalat" w:hAnsi="GHEA Grapalat"/>
          <w:bCs/>
          <w:sz w:val="24"/>
          <w:szCs w:val="24"/>
          <w:lang w:val="hy-AM"/>
        </w:rPr>
        <w:t>ՀՀ դրամ</w:t>
      </w:r>
      <w:r>
        <w:rPr>
          <w:rFonts w:ascii="GHEA Grapalat" w:hAnsi="GHEA Grapalat"/>
          <w:bCs/>
          <w:sz w:val="24"/>
          <w:szCs w:val="24"/>
          <w:lang w:val="hy-AM"/>
        </w:rPr>
        <w:t>: 2024 թվականին</w:t>
      </w:r>
      <w:r w:rsidR="00834D0C">
        <w:rPr>
          <w:rFonts w:ascii="GHEA Grapalat" w:hAnsi="GHEA Grapalat"/>
          <w:bCs/>
          <w:sz w:val="24"/>
          <w:szCs w:val="24"/>
          <w:lang w:val="hy-AM"/>
        </w:rPr>
        <w:t xml:space="preserve"> նախնական հաշվարկներով</w:t>
      </w:r>
      <w:r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834D0C">
        <w:rPr>
          <w:rFonts w:ascii="GHEA Grapalat" w:hAnsi="GHEA Grapalat"/>
          <w:bCs/>
          <w:sz w:val="24"/>
          <w:szCs w:val="24"/>
          <w:lang w:val="hy-AM"/>
        </w:rPr>
        <w:t>նախատեսվում է թվով 55 կազմակերպության վճարել 5,000,000,000</w:t>
      </w:r>
      <w:r w:rsidR="00834D0C" w:rsidRPr="00834D0C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834D0C" w:rsidRPr="00C14E56">
        <w:rPr>
          <w:rFonts w:ascii="GHEA Grapalat" w:hAnsi="GHEA Grapalat"/>
          <w:bCs/>
          <w:sz w:val="24"/>
          <w:szCs w:val="24"/>
          <w:lang w:val="hy-AM"/>
        </w:rPr>
        <w:t>ՀՀ դրամ</w:t>
      </w:r>
      <w:r w:rsidR="00834D0C">
        <w:rPr>
          <w:rFonts w:ascii="GHEA Grapalat" w:hAnsi="GHEA Grapalat"/>
          <w:bCs/>
          <w:sz w:val="24"/>
          <w:szCs w:val="24"/>
          <w:lang w:val="hy-AM"/>
        </w:rPr>
        <w:t>, իսկ 2025 թվականին՝ 55 կազմակերպության վճարել 2,000,000,000</w:t>
      </w:r>
      <w:r w:rsidR="00834D0C" w:rsidRPr="00834D0C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834D0C" w:rsidRPr="00C14E56">
        <w:rPr>
          <w:rFonts w:ascii="GHEA Grapalat" w:hAnsi="GHEA Grapalat"/>
          <w:bCs/>
          <w:sz w:val="24"/>
          <w:szCs w:val="24"/>
          <w:lang w:val="hy-AM"/>
        </w:rPr>
        <w:t>ՀՀ դրամ</w:t>
      </w:r>
      <w:r w:rsidR="00834D0C">
        <w:rPr>
          <w:rFonts w:ascii="GHEA Grapalat" w:hAnsi="GHEA Grapalat"/>
          <w:bCs/>
          <w:sz w:val="24"/>
          <w:szCs w:val="24"/>
          <w:lang w:val="hy-AM"/>
        </w:rPr>
        <w:t>:</w:t>
      </w:r>
      <w:r w:rsidR="00A77A96">
        <w:rPr>
          <w:rFonts w:ascii="GHEA Grapalat" w:hAnsi="GHEA Grapalat"/>
          <w:bCs/>
          <w:sz w:val="24"/>
          <w:szCs w:val="24"/>
          <w:lang w:val="hy-AM"/>
        </w:rPr>
        <w:t xml:space="preserve"> </w:t>
      </w:r>
    </w:p>
    <w:p w14:paraId="4D624BB5" w14:textId="77777777" w:rsidR="00C14E56" w:rsidRPr="00C14E56" w:rsidRDefault="00C14E56" w:rsidP="00C14E56">
      <w:pPr>
        <w:pStyle w:val="mechtex"/>
        <w:spacing w:line="360" w:lineRule="auto"/>
        <w:ind w:right="-180"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C14E56">
        <w:rPr>
          <w:rFonts w:ascii="GHEA Grapalat" w:hAnsi="GHEA Grapalat"/>
          <w:bCs/>
          <w:sz w:val="24"/>
          <w:szCs w:val="24"/>
          <w:lang w:val="hy-AM"/>
        </w:rPr>
        <w:t>Որոշման գործունեության արդյունքում ստեղծվել է շուրջ 5854 աշխատատեղ:</w:t>
      </w:r>
    </w:p>
    <w:p w14:paraId="1DF3151D" w14:textId="5626AF37" w:rsidR="00BD2781" w:rsidRDefault="00C14E56" w:rsidP="00C14E56">
      <w:pPr>
        <w:pStyle w:val="mechtex"/>
        <w:spacing w:line="360" w:lineRule="auto"/>
        <w:ind w:right="-180"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C14E56">
        <w:rPr>
          <w:rFonts w:ascii="GHEA Grapalat" w:hAnsi="GHEA Grapalat"/>
          <w:bCs/>
          <w:sz w:val="24"/>
          <w:szCs w:val="24"/>
          <w:lang w:val="hy-AM"/>
        </w:rPr>
        <w:t xml:space="preserve">Հարկ է նշել, որ </w:t>
      </w:r>
      <w:r w:rsidR="00D772E3" w:rsidRPr="00C14E56">
        <w:rPr>
          <w:rFonts w:ascii="GHEA Grapalat" w:hAnsi="GHEA Grapalat"/>
          <w:bCs/>
          <w:sz w:val="24"/>
          <w:szCs w:val="24"/>
          <w:lang w:val="hy-AM"/>
        </w:rPr>
        <w:t xml:space="preserve">ՀՀ կառավարության 2022 թվականի մարտի 24-ի «Տեղեկատվական տեխնոլոգիաների ոլորտի առևտրային կազմակերպություններին և անհատ ձեռնարկատերերին պետական աջակցության տրամադրման կարգը հաստատելու մասին» թիվ 399-Լ </w:t>
      </w:r>
      <w:r w:rsidR="00D772E3">
        <w:rPr>
          <w:rFonts w:ascii="GHEA Grapalat" w:hAnsi="GHEA Grapalat"/>
          <w:bCs/>
          <w:sz w:val="24"/>
          <w:szCs w:val="24"/>
          <w:lang w:val="hy-AM"/>
        </w:rPr>
        <w:t>ո</w:t>
      </w:r>
      <w:r w:rsidRPr="00C14E56">
        <w:rPr>
          <w:rFonts w:ascii="GHEA Grapalat" w:hAnsi="GHEA Grapalat"/>
          <w:bCs/>
          <w:sz w:val="24"/>
          <w:szCs w:val="24"/>
          <w:lang w:val="hy-AM"/>
        </w:rPr>
        <w:t xml:space="preserve">րոշման </w:t>
      </w:r>
      <w:r w:rsidRPr="00C14E56">
        <w:rPr>
          <w:rFonts w:ascii="GHEA Grapalat" w:hAnsi="GHEA Grapalat"/>
          <w:bCs/>
          <w:sz w:val="24"/>
          <w:szCs w:val="24"/>
          <w:lang w:val="hy-AM"/>
        </w:rPr>
        <w:lastRenderedPageBreak/>
        <w:t xml:space="preserve">ընդունումը հնարավորություն է ընձեռել համաշխարհային շուկայում բազում փոփոխությունների և մարտահրավերների պայմաններում տեղեկատվական տեխնոլոգիաների ոլորտում գործունեություն իրականացնող առևտրային կազմակերպություններին և անհատ ձեռնարկատերերին պահպանելու առկա աշխատատեղերն ու աշխատողների աշխատավարձերը, ինչպես նաև խթանել է նոր աշխատատեղերի ստեղծմանը, ուստի </w:t>
      </w:r>
      <w:r w:rsidR="00D772E3">
        <w:rPr>
          <w:rFonts w:ascii="GHEA Grapalat" w:hAnsi="GHEA Grapalat"/>
          <w:bCs/>
          <w:sz w:val="24"/>
          <w:szCs w:val="24"/>
          <w:lang w:val="hy-AM"/>
        </w:rPr>
        <w:t>Որոշման</w:t>
      </w:r>
      <w:r w:rsidRPr="00C14E56">
        <w:rPr>
          <w:rFonts w:ascii="GHEA Grapalat" w:hAnsi="GHEA Grapalat"/>
          <w:bCs/>
          <w:sz w:val="24"/>
          <w:szCs w:val="24"/>
          <w:lang w:val="hy-AM"/>
        </w:rPr>
        <w:t xml:space="preserve"> ընդունումը համարվ</w:t>
      </w:r>
      <w:r w:rsidR="00D772E3">
        <w:rPr>
          <w:rFonts w:ascii="GHEA Grapalat" w:hAnsi="GHEA Grapalat"/>
          <w:bCs/>
          <w:sz w:val="24"/>
          <w:szCs w:val="24"/>
          <w:lang w:val="hy-AM"/>
        </w:rPr>
        <w:t>ել</w:t>
      </w:r>
      <w:r w:rsidRPr="00C14E56">
        <w:rPr>
          <w:rFonts w:ascii="GHEA Grapalat" w:hAnsi="GHEA Grapalat"/>
          <w:bCs/>
          <w:sz w:val="24"/>
          <w:szCs w:val="24"/>
          <w:lang w:val="hy-AM"/>
        </w:rPr>
        <w:t xml:space="preserve"> է խիստ նպատակահարմար: </w:t>
      </w:r>
      <w:r w:rsidR="00D772E3">
        <w:rPr>
          <w:rFonts w:ascii="GHEA Grapalat" w:hAnsi="GHEA Grapalat"/>
          <w:bCs/>
          <w:sz w:val="24"/>
          <w:szCs w:val="24"/>
          <w:lang w:val="hy-AM"/>
        </w:rPr>
        <w:t>Որոշումը</w:t>
      </w:r>
      <w:r w:rsidR="00D772E3" w:rsidRPr="00C14E56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C14E56">
        <w:rPr>
          <w:rFonts w:ascii="GHEA Grapalat" w:hAnsi="GHEA Grapalat"/>
          <w:bCs/>
          <w:sz w:val="24"/>
          <w:szCs w:val="24"/>
          <w:lang w:val="hy-AM"/>
        </w:rPr>
        <w:t>շահեկան պայմաններ կստեղծի հայաստանյան շուկայում գործունեություն իրականցնելու համար և հնարավորություն կտա տեղեկատվական տեխնոլոգիաների ոլորտում գործունեություն իրականացնող առևտրային կազմակերպություններին և անհատ ձեռնարկատերերին շարունակել իրենց գործունեությունը Հայաստանի Հանրապետությունում՝ ապահովելով պետական բյուջե հարկերի տեսքով դրամական մուտքեր: Այլապես շատ կազմակերպություններ պարզապես կդադարեցնեն իրենց գործունեությունը Հայաստանի Հանրապետությունում և զգալիորեն կկրճատվեն պետական բյուջե հարկերի տեսքով դրամական մուտքերը, ինչը իր հերթին կբերի գործազրկության աճի:</w:t>
      </w:r>
    </w:p>
    <w:p w14:paraId="58D2B668" w14:textId="77777777" w:rsidR="00C14E56" w:rsidRPr="00062B35" w:rsidRDefault="00C14E56" w:rsidP="00C14E56">
      <w:pPr>
        <w:pStyle w:val="mechtex"/>
        <w:spacing w:line="360" w:lineRule="auto"/>
        <w:ind w:right="-180" w:firstLine="720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sectPr w:rsidR="00C14E56" w:rsidRPr="00062B35" w:rsidSect="008D0A9A">
      <w:pgSz w:w="12240" w:h="15840"/>
      <w:pgMar w:top="0" w:right="900" w:bottom="1276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C7009"/>
    <w:multiLevelType w:val="hybridMultilevel"/>
    <w:tmpl w:val="ECBC7022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C210F"/>
    <w:multiLevelType w:val="hybridMultilevel"/>
    <w:tmpl w:val="D9DC5572"/>
    <w:lvl w:ilvl="0" w:tplc="042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373B57"/>
    <w:multiLevelType w:val="hybridMultilevel"/>
    <w:tmpl w:val="6748AEEA"/>
    <w:lvl w:ilvl="0" w:tplc="040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3" w15:restartNumberingAfterBreak="0">
    <w:nsid w:val="40FD6EAB"/>
    <w:multiLevelType w:val="hybridMultilevel"/>
    <w:tmpl w:val="C5A015BC"/>
    <w:lvl w:ilvl="0" w:tplc="042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66972"/>
    <w:multiLevelType w:val="hybridMultilevel"/>
    <w:tmpl w:val="98AC81C2"/>
    <w:lvl w:ilvl="0" w:tplc="042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06E07"/>
    <w:multiLevelType w:val="hybridMultilevel"/>
    <w:tmpl w:val="974CE554"/>
    <w:lvl w:ilvl="0" w:tplc="0466164A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392" w:hanging="360"/>
      </w:pPr>
    </w:lvl>
    <w:lvl w:ilvl="2" w:tplc="042B001B" w:tentative="1">
      <w:start w:val="1"/>
      <w:numFmt w:val="lowerRoman"/>
      <w:lvlText w:val="%3."/>
      <w:lvlJc w:val="right"/>
      <w:pPr>
        <w:ind w:left="2112" w:hanging="180"/>
      </w:pPr>
    </w:lvl>
    <w:lvl w:ilvl="3" w:tplc="042B000F" w:tentative="1">
      <w:start w:val="1"/>
      <w:numFmt w:val="decimal"/>
      <w:lvlText w:val="%4."/>
      <w:lvlJc w:val="left"/>
      <w:pPr>
        <w:ind w:left="2832" w:hanging="360"/>
      </w:pPr>
    </w:lvl>
    <w:lvl w:ilvl="4" w:tplc="042B0019" w:tentative="1">
      <w:start w:val="1"/>
      <w:numFmt w:val="lowerLetter"/>
      <w:lvlText w:val="%5."/>
      <w:lvlJc w:val="left"/>
      <w:pPr>
        <w:ind w:left="3552" w:hanging="360"/>
      </w:pPr>
    </w:lvl>
    <w:lvl w:ilvl="5" w:tplc="042B001B" w:tentative="1">
      <w:start w:val="1"/>
      <w:numFmt w:val="lowerRoman"/>
      <w:lvlText w:val="%6."/>
      <w:lvlJc w:val="right"/>
      <w:pPr>
        <w:ind w:left="4272" w:hanging="180"/>
      </w:pPr>
    </w:lvl>
    <w:lvl w:ilvl="6" w:tplc="042B000F" w:tentative="1">
      <w:start w:val="1"/>
      <w:numFmt w:val="decimal"/>
      <w:lvlText w:val="%7."/>
      <w:lvlJc w:val="left"/>
      <w:pPr>
        <w:ind w:left="4992" w:hanging="360"/>
      </w:pPr>
    </w:lvl>
    <w:lvl w:ilvl="7" w:tplc="042B0019" w:tentative="1">
      <w:start w:val="1"/>
      <w:numFmt w:val="lowerLetter"/>
      <w:lvlText w:val="%8."/>
      <w:lvlJc w:val="left"/>
      <w:pPr>
        <w:ind w:left="5712" w:hanging="360"/>
      </w:pPr>
    </w:lvl>
    <w:lvl w:ilvl="8" w:tplc="042B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59793D84"/>
    <w:multiLevelType w:val="hybridMultilevel"/>
    <w:tmpl w:val="8564B4A0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8A7DB0"/>
    <w:multiLevelType w:val="hybridMultilevel"/>
    <w:tmpl w:val="CD1C5DB0"/>
    <w:lvl w:ilvl="0" w:tplc="6DBC622C">
      <w:start w:val="1"/>
      <w:numFmt w:val="decimal"/>
      <w:lvlText w:val="%1."/>
      <w:lvlJc w:val="left"/>
      <w:pPr>
        <w:ind w:left="81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63C84271"/>
    <w:multiLevelType w:val="hybridMultilevel"/>
    <w:tmpl w:val="73D41D7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 w15:restartNumberingAfterBreak="0">
    <w:nsid w:val="7DAD377F"/>
    <w:multiLevelType w:val="multilevel"/>
    <w:tmpl w:val="A2C873DA"/>
    <w:lvl w:ilvl="0">
      <w:start w:val="1"/>
      <w:numFmt w:val="decimal"/>
      <w:lvlText w:val="%1."/>
      <w:lvlJc w:val="left"/>
      <w:pPr>
        <w:tabs>
          <w:tab w:val="num" w:pos="0"/>
        </w:tabs>
        <w:ind w:left="63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3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5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7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9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1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3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5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75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0CC"/>
    <w:rsid w:val="00057A77"/>
    <w:rsid w:val="00062B35"/>
    <w:rsid w:val="000746D5"/>
    <w:rsid w:val="00075890"/>
    <w:rsid w:val="00075D4F"/>
    <w:rsid w:val="000825A6"/>
    <w:rsid w:val="000A2A7B"/>
    <w:rsid w:val="000F6B6C"/>
    <w:rsid w:val="000F76CF"/>
    <w:rsid w:val="00107298"/>
    <w:rsid w:val="00111568"/>
    <w:rsid w:val="00181753"/>
    <w:rsid w:val="001877DD"/>
    <w:rsid w:val="001F0D70"/>
    <w:rsid w:val="001F40D6"/>
    <w:rsid w:val="001F6786"/>
    <w:rsid w:val="002014CF"/>
    <w:rsid w:val="00224C2B"/>
    <w:rsid w:val="0023102D"/>
    <w:rsid w:val="00233DC4"/>
    <w:rsid w:val="002357CF"/>
    <w:rsid w:val="0024017C"/>
    <w:rsid w:val="00246610"/>
    <w:rsid w:val="00251FC8"/>
    <w:rsid w:val="00252BDC"/>
    <w:rsid w:val="002635A1"/>
    <w:rsid w:val="002B15E2"/>
    <w:rsid w:val="003136A2"/>
    <w:rsid w:val="0032340D"/>
    <w:rsid w:val="00334809"/>
    <w:rsid w:val="00390F9B"/>
    <w:rsid w:val="00405720"/>
    <w:rsid w:val="00421F6B"/>
    <w:rsid w:val="00436998"/>
    <w:rsid w:val="004E5977"/>
    <w:rsid w:val="005035A8"/>
    <w:rsid w:val="005051B3"/>
    <w:rsid w:val="00535F57"/>
    <w:rsid w:val="00543341"/>
    <w:rsid w:val="005520CC"/>
    <w:rsid w:val="00571CAB"/>
    <w:rsid w:val="00580265"/>
    <w:rsid w:val="005F4B75"/>
    <w:rsid w:val="00632035"/>
    <w:rsid w:val="00657312"/>
    <w:rsid w:val="006663F3"/>
    <w:rsid w:val="00677D88"/>
    <w:rsid w:val="006E1109"/>
    <w:rsid w:val="00704A71"/>
    <w:rsid w:val="00710813"/>
    <w:rsid w:val="007423C3"/>
    <w:rsid w:val="007506C6"/>
    <w:rsid w:val="007542FC"/>
    <w:rsid w:val="007865FD"/>
    <w:rsid w:val="00796CE1"/>
    <w:rsid w:val="007A5F4A"/>
    <w:rsid w:val="007B63AD"/>
    <w:rsid w:val="007C55FF"/>
    <w:rsid w:val="007C7F24"/>
    <w:rsid w:val="0080788E"/>
    <w:rsid w:val="00834D0C"/>
    <w:rsid w:val="00863AAA"/>
    <w:rsid w:val="00864AE1"/>
    <w:rsid w:val="00864CAF"/>
    <w:rsid w:val="00865691"/>
    <w:rsid w:val="00885E54"/>
    <w:rsid w:val="00894E06"/>
    <w:rsid w:val="008D0A9A"/>
    <w:rsid w:val="0095025D"/>
    <w:rsid w:val="00960F4C"/>
    <w:rsid w:val="009710A3"/>
    <w:rsid w:val="00983D71"/>
    <w:rsid w:val="0098673D"/>
    <w:rsid w:val="00996427"/>
    <w:rsid w:val="009A1BEA"/>
    <w:rsid w:val="009A7B44"/>
    <w:rsid w:val="00A03FD5"/>
    <w:rsid w:val="00A11B82"/>
    <w:rsid w:val="00A12DA9"/>
    <w:rsid w:val="00A20716"/>
    <w:rsid w:val="00A343F0"/>
    <w:rsid w:val="00A44CBF"/>
    <w:rsid w:val="00A44D79"/>
    <w:rsid w:val="00A570A8"/>
    <w:rsid w:val="00A77A96"/>
    <w:rsid w:val="00A859C7"/>
    <w:rsid w:val="00A91F12"/>
    <w:rsid w:val="00AD1D8D"/>
    <w:rsid w:val="00AF7A1D"/>
    <w:rsid w:val="00B4470E"/>
    <w:rsid w:val="00B52F6A"/>
    <w:rsid w:val="00BA1A25"/>
    <w:rsid w:val="00BC0FC7"/>
    <w:rsid w:val="00BD2781"/>
    <w:rsid w:val="00C026C5"/>
    <w:rsid w:val="00C14E56"/>
    <w:rsid w:val="00C60DD4"/>
    <w:rsid w:val="00C75B08"/>
    <w:rsid w:val="00C84DDA"/>
    <w:rsid w:val="00C96AAE"/>
    <w:rsid w:val="00CD4C0F"/>
    <w:rsid w:val="00CF4E69"/>
    <w:rsid w:val="00D11FB4"/>
    <w:rsid w:val="00D16312"/>
    <w:rsid w:val="00D40360"/>
    <w:rsid w:val="00D4495C"/>
    <w:rsid w:val="00D467FC"/>
    <w:rsid w:val="00D543F3"/>
    <w:rsid w:val="00D70F09"/>
    <w:rsid w:val="00D772E3"/>
    <w:rsid w:val="00D86195"/>
    <w:rsid w:val="00D8784E"/>
    <w:rsid w:val="00DA3640"/>
    <w:rsid w:val="00DA7A14"/>
    <w:rsid w:val="00E23E9D"/>
    <w:rsid w:val="00E34A94"/>
    <w:rsid w:val="00E5035A"/>
    <w:rsid w:val="00E51ECC"/>
    <w:rsid w:val="00E65CC1"/>
    <w:rsid w:val="00E76CCB"/>
    <w:rsid w:val="00E86FC7"/>
    <w:rsid w:val="00EC17EF"/>
    <w:rsid w:val="00ED58C2"/>
    <w:rsid w:val="00EF1D12"/>
    <w:rsid w:val="00EF56F1"/>
    <w:rsid w:val="00EF6A6C"/>
    <w:rsid w:val="00F03887"/>
    <w:rsid w:val="00F114B4"/>
    <w:rsid w:val="00F30525"/>
    <w:rsid w:val="00F32564"/>
    <w:rsid w:val="00F84E48"/>
    <w:rsid w:val="00F94294"/>
    <w:rsid w:val="00F97175"/>
    <w:rsid w:val="00FA4E0A"/>
    <w:rsid w:val="00FC4DC5"/>
    <w:rsid w:val="00FC7DCD"/>
    <w:rsid w:val="00FD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41316"/>
  <w15:chartTrackingRefBased/>
  <w15:docId w15:val="{A82BA97F-D340-40FE-8CFA-48D7EA12C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echtexChar">
    <w:name w:val="mechtex Char"/>
    <w:link w:val="mechtex"/>
    <w:locked/>
    <w:rsid w:val="00571CAB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customStyle="1" w:styleId="mechtex">
    <w:name w:val="mechtex"/>
    <w:basedOn w:val="Normal"/>
    <w:link w:val="mechtexChar"/>
    <w:rsid w:val="00571CAB"/>
    <w:pPr>
      <w:spacing w:after="0" w:line="240" w:lineRule="auto"/>
      <w:jc w:val="center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BodyText">
    <w:name w:val="Body Text"/>
    <w:basedOn w:val="Normal"/>
    <w:link w:val="BodyTextChar"/>
    <w:unhideWhenUsed/>
    <w:rsid w:val="00FC4DC5"/>
    <w:pPr>
      <w:spacing w:after="140" w:line="276" w:lineRule="auto"/>
    </w:pPr>
    <w:rPr>
      <w:rFonts w:ascii="Calibri" w:eastAsia="Calibri" w:hAnsi="Calibri"/>
      <w:color w:val="00000A"/>
    </w:rPr>
  </w:style>
  <w:style w:type="character" w:customStyle="1" w:styleId="BodyTextChar">
    <w:name w:val="Body Text Char"/>
    <w:basedOn w:val="DefaultParagraphFont"/>
    <w:link w:val="BodyText"/>
    <w:rsid w:val="00FC4DC5"/>
    <w:rPr>
      <w:rFonts w:ascii="Calibri" w:eastAsia="Calibri" w:hAnsi="Calibri"/>
      <w:color w:val="00000A"/>
    </w:rPr>
  </w:style>
  <w:style w:type="character" w:styleId="CommentReference">
    <w:name w:val="annotation reference"/>
    <w:basedOn w:val="DefaultParagraphFont"/>
    <w:uiPriority w:val="99"/>
    <w:semiHidden/>
    <w:unhideWhenUsed/>
    <w:rsid w:val="00FC4D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4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4DC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4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DC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A7B"/>
    <w:pPr>
      <w:spacing w:after="16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A7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ListParagraph">
    <w:name w:val="List Paragraph"/>
    <w:basedOn w:val="Normal"/>
    <w:uiPriority w:val="34"/>
    <w:qFormat/>
    <w:rsid w:val="00C84DDA"/>
    <w:pPr>
      <w:ind w:left="720"/>
      <w:contextualSpacing/>
    </w:pPr>
  </w:style>
  <w:style w:type="paragraph" w:styleId="NormalWeb">
    <w:name w:val="Normal (Web)"/>
    <w:aliases w:val="webb,Обычный (веб) Знак Знак,Знак Знак Знак Знак,Обычный (веб) Знак Знак Знак,Знак Знак Знак1 Знак Знак Знак Знак Знак, webb"/>
    <w:basedOn w:val="Normal"/>
    <w:link w:val="NormalWebChar"/>
    <w:uiPriority w:val="99"/>
    <w:qFormat/>
    <w:rsid w:val="00EC1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Обычный (веб) Знак Знак Знак Char,Знак Знак Знак1 Знак Знак Знак Знак Знак Char, webb Char"/>
    <w:link w:val="NormalWeb"/>
    <w:uiPriority w:val="99"/>
    <w:locked/>
    <w:rsid w:val="00D861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39"/>
    <w:rsid w:val="00AD1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Beglaryan</dc:creator>
  <cp:keywords>https:/mul2.gov.am/tasks/844629/oneclick/Himnavorum.docx?token=3f25b8debb99614625fde3c4f4939337</cp:keywords>
  <dc:description/>
  <cp:lastModifiedBy>Lilit Harutyunyan</cp:lastModifiedBy>
  <cp:revision>5</cp:revision>
  <cp:lastPrinted>2024-02-28T11:10:00Z</cp:lastPrinted>
  <dcterms:created xsi:type="dcterms:W3CDTF">2024-03-15T14:40:00Z</dcterms:created>
  <dcterms:modified xsi:type="dcterms:W3CDTF">2024-03-15T14:41:00Z</dcterms:modified>
</cp:coreProperties>
</file>